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B9CD" w14:textId="2FAB8F23" w:rsidR="00444CD2" w:rsidRPr="00E7014D" w:rsidRDefault="2C49DF87" w:rsidP="00E7014D">
      <w:pPr>
        <w:pStyle w:val="Otsikko1"/>
      </w:pPr>
      <w:r w:rsidRPr="2C49DF87">
        <w:rPr>
          <w:rFonts w:eastAsia="Lato"/>
        </w:rPr>
        <w:t>Verkkokurssin arviointikriteerit</w:t>
      </w:r>
    </w:p>
    <w:p w14:paraId="400E7C83" w14:textId="1E7AE6A7" w:rsidR="00EE1148" w:rsidRDefault="2C49DF87" w:rsidP="2C49DF87">
      <w:p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Verkkokurssin arvosanaan vaikuttavat osallistumisaktiivisuus, oppimateriaalin käyttö, tehtävävastausten ja keskustelujen asiasisältö sekä tieteellinen viestintä kirjallisissa tehtävissä.</w:t>
      </w:r>
    </w:p>
    <w:p w14:paraId="3937E58E" w14:textId="5A3BB0BC" w:rsidR="00EE1148" w:rsidRDefault="2C49DF87" w:rsidP="2C49DF87">
      <w:pPr>
        <w:rPr>
          <w:rFonts w:ascii="Lato" w:eastAsia="Lato" w:hAnsi="Lato" w:cs="Lato"/>
        </w:rPr>
      </w:pPr>
      <w:r w:rsidRPr="2C49DF87">
        <w:rPr>
          <w:rFonts w:ascii="Lato" w:eastAsia="Lato" w:hAnsi="Lato" w:cs="Lato"/>
          <w:color w:val="212529"/>
        </w:rPr>
        <w:t>Hyväksytyn suorituksen edellytyksenä on, että kaikkiin materiaaleihin on perehdytty ja kaikki tehtävät on tehty</w:t>
      </w:r>
      <w:r w:rsidR="008C3769">
        <w:rPr>
          <w:rFonts w:ascii="Lato" w:eastAsia="Lato" w:hAnsi="Lato" w:cs="Lato"/>
          <w:color w:val="212529"/>
        </w:rPr>
        <w:t>.</w:t>
      </w:r>
    </w:p>
    <w:p w14:paraId="1CD4470A" w14:textId="6B93C8FF" w:rsidR="00EE1148" w:rsidRDefault="00EE1148" w:rsidP="2C49DF87"/>
    <w:p w14:paraId="6BF2B91F" w14:textId="2C2B9B44" w:rsidR="00EE1148" w:rsidRDefault="2C49DF87" w:rsidP="00E7014D">
      <w:pPr>
        <w:pStyle w:val="Otsikko2"/>
      </w:pPr>
      <w:r w:rsidRPr="2C49DF87">
        <w:rPr>
          <w:rFonts w:eastAsia="Lato"/>
        </w:rPr>
        <w:t xml:space="preserve">Arvosana </w:t>
      </w:r>
      <w:proofErr w:type="gramStart"/>
      <w:r w:rsidRPr="2C49DF87">
        <w:rPr>
          <w:rFonts w:eastAsia="Lato"/>
        </w:rPr>
        <w:t>4-5</w:t>
      </w:r>
      <w:proofErr w:type="gramEnd"/>
    </w:p>
    <w:p w14:paraId="5134D0C7" w14:textId="69E9292D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osallistuu aktiivisesti verkkotyöskentelyyn ja suorittaa kaikki osatehtävät annettujen ohjeiden mukaan aikataulussa.</w:t>
      </w:r>
    </w:p>
    <w:p w14:paraId="53C6DCF7" w14:textId="4943AD16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osaa rajata työskentelyn ja tehtävät kurssin teemojen mukaisiksi.</w:t>
      </w:r>
    </w:p>
    <w:p w14:paraId="5E13EEA0" w14:textId="44540700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Opiskelijan työskentely on tavoitteellista sekä yksilö- että ryhmätasolla.</w:t>
      </w:r>
    </w:p>
    <w:p w14:paraId="40B37006" w14:textId="669D54F4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on työskentelyssään aloitteellinen ja tuo uusia näkökulmia ryhmätyöskentelyyn ja keskusteluihin edistäen näin koko ryhmän työskentelyä ja oppimista.</w:t>
      </w:r>
    </w:p>
    <w:p w14:paraId="336FE514" w14:textId="61D95A6B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74EFDB01">
        <w:rPr>
          <w:rFonts w:ascii="Lato" w:eastAsia="Lato" w:hAnsi="Lato" w:cs="Lato"/>
          <w:color w:val="212529"/>
        </w:rPr>
        <w:t xml:space="preserve">Opiskelija osaa yhdistää aiemmin oppimaansa työskentelyyn ja osaa soveltaa myös oppimateriaalin teoriatietoa annetuissa tehtävissä. </w:t>
      </w:r>
      <w:r w:rsidRPr="008F7E16">
        <w:rPr>
          <w:rFonts w:ascii="Lato" w:eastAsia="Lato" w:hAnsi="Lato" w:cs="Lato"/>
        </w:rPr>
        <w:t>Opiskelija käyttää oppimateriaalia monipuolisesti.</w:t>
      </w:r>
    </w:p>
    <w:p w14:paraId="4AB21317" w14:textId="37F4C3DD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noudattaa kirjallisissa vastauksissa tieteellisen viestinnän periaatteita.</w:t>
      </w:r>
    </w:p>
    <w:p w14:paraId="1A5866A0" w14:textId="440AC0D0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Opiskeluprosessin itsereflektio on ansiokasta.</w:t>
      </w:r>
    </w:p>
    <w:p w14:paraId="63CAD953" w14:textId="1E60C3AC" w:rsidR="00EE1148" w:rsidRDefault="2C49DF87" w:rsidP="00E7014D">
      <w:pPr>
        <w:pStyle w:val="Otsikko2"/>
      </w:pPr>
      <w:r w:rsidRPr="2C49DF87">
        <w:rPr>
          <w:rFonts w:eastAsia="Lato"/>
        </w:rPr>
        <w:t>Arvosana 3</w:t>
      </w:r>
    </w:p>
    <w:p w14:paraId="25B39F5B" w14:textId="6BD0CBC6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osallistuu verkkotyöskentelyyn ja suorittaa osatehtävät pääsääntöisesti annettujen ohjeiden mukaan aikataulussa.</w:t>
      </w:r>
    </w:p>
    <w:p w14:paraId="74FC599A" w14:textId="70D2030A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osallistuu eri teemoista käytäviin keskusteluihin, tuo keskustelussa esille myös joitain uusia näkökulmia ja ottaa omissa viesteissään huomioon muiden opiskelijoiden esille nostamia näkökulmia.</w:t>
      </w:r>
    </w:p>
    <w:p w14:paraId="211DC29D" w14:textId="58B616D6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Tehtävänannon teemat on käsitelty ja ne on kytketty teoriatietoon</w:t>
      </w:r>
      <w:r w:rsidR="00407162" w:rsidRPr="008F7E16">
        <w:rPr>
          <w:rFonts w:ascii="Lato" w:eastAsia="Lato" w:hAnsi="Lato" w:cs="Lato"/>
        </w:rPr>
        <w:t xml:space="preserve"> </w:t>
      </w:r>
      <w:r w:rsidR="00884C88" w:rsidRPr="008F7E16">
        <w:rPr>
          <w:rFonts w:ascii="Lato" w:eastAsia="Lato" w:hAnsi="Lato" w:cs="Lato"/>
        </w:rPr>
        <w:t>oppimateriaalia hyödyntäen.</w:t>
      </w:r>
    </w:p>
    <w:p w14:paraId="623D5E9D" w14:textId="54176E6F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Opiskelijan osallistuminen on enimmäkseen tasapuolista ja aktiivista eri osa-alueilla ja opiskelijan työskentely tukee muun ryhmän työskentelyä.</w:t>
      </w:r>
    </w:p>
    <w:p w14:paraId="18363096" w14:textId="46788802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Keskustelut ja raportit yms. on enimmäkseen rajattu onnistuneesti tehtävien teemojen mukaisesti.</w:t>
      </w:r>
    </w:p>
    <w:p w14:paraId="124069BA" w14:textId="6DB7D5FF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Vastausten sisältö voi paikoitellen olla referoivaa ja tieteellisessä viestinnässä voi olla pieniä puutteita.</w:t>
      </w:r>
    </w:p>
    <w:p w14:paraId="747794D8" w14:textId="6B998D80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osaa reflektoida oppimisprosessiaan.</w:t>
      </w:r>
    </w:p>
    <w:p w14:paraId="79F57991" w14:textId="1F92CBE2" w:rsidR="00EE1148" w:rsidRDefault="2C49DF87" w:rsidP="00E7014D">
      <w:pPr>
        <w:pStyle w:val="Otsikko2"/>
        <w:rPr>
          <w:rFonts w:eastAsia="Lato"/>
        </w:rPr>
      </w:pPr>
      <w:r w:rsidRPr="2C49DF87">
        <w:rPr>
          <w:rFonts w:eastAsia="Lato"/>
        </w:rPr>
        <w:t xml:space="preserve">Arvosana </w:t>
      </w:r>
      <w:proofErr w:type="gramStart"/>
      <w:r w:rsidRPr="2C49DF87">
        <w:rPr>
          <w:rFonts w:eastAsia="Lato"/>
        </w:rPr>
        <w:t>1-2</w:t>
      </w:r>
      <w:proofErr w:type="gramEnd"/>
    </w:p>
    <w:p w14:paraId="631FD520" w14:textId="6BE39D4F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osallistuu verkkotyöskentelyyn ja suorittaa osatehtävät, mutta osallistuminen on vähäistä ja edistää vain vähän koko ryhmän työskentelyä.</w:t>
      </w:r>
    </w:p>
    <w:p w14:paraId="7AD5516C" w14:textId="7226F57D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Aikataulun noudattamisessa voi olla ongelmia.</w:t>
      </w:r>
    </w:p>
    <w:p w14:paraId="16FE20FF" w14:textId="699491E0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osallistuu keskusteluun, mutta ei tuo mukaan uusia näkökulmia eikä ota viesteissään huomioon muiden opiskelijoiden esille nostamia näkökulmia.</w:t>
      </w:r>
    </w:p>
    <w:p w14:paraId="06041662" w14:textId="7E6B7ECB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Keskustelujen ja/tai vastausten sisältö on referoivaa ja osin aiheen vierestä.</w:t>
      </w:r>
    </w:p>
    <w:p w14:paraId="68CF1692" w14:textId="2DC4DB75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Oppimateriaalin ja muun lähdemateriaalin teoriatiedon soveltamisessa sekä tieteellisessä viestinnässä on olennaisia puutteita.</w:t>
      </w:r>
    </w:p>
    <w:p w14:paraId="29EBD790" w14:textId="2E5C07FC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lastRenderedPageBreak/>
        <w:t>Opiskelijan oman toiminnan reflektointi on niukkaa.</w:t>
      </w:r>
    </w:p>
    <w:p w14:paraId="1452037B" w14:textId="5DA470A5" w:rsidR="00EE1148" w:rsidRDefault="2C49DF87" w:rsidP="00E7014D">
      <w:pPr>
        <w:pStyle w:val="Otsikko2"/>
        <w:rPr>
          <w:rFonts w:eastAsia="Lato"/>
        </w:rPr>
      </w:pPr>
      <w:r w:rsidRPr="2C49DF87">
        <w:rPr>
          <w:rFonts w:eastAsia="Lato"/>
        </w:rPr>
        <w:t>Hylätty</w:t>
      </w:r>
    </w:p>
    <w:p w14:paraId="033B5DD0" w14:textId="58097561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 ei suorita kaikkia osatehtäviä eikä noudata aikataulua.</w:t>
      </w:r>
    </w:p>
    <w:p w14:paraId="00C65251" w14:textId="0BFB522B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Opiskelijan keskusteluun osallistuminen on erittäin vähäistä tai hän ei osallistu keskusteluun lainkaan.</w:t>
      </w:r>
    </w:p>
    <w:p w14:paraId="14484DEF" w14:textId="2E961C6D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Kirjallisten vastausten sisäl</w:t>
      </w:r>
      <w:r w:rsidR="007441DD">
        <w:rPr>
          <w:rFonts w:ascii="Lato" w:eastAsia="Lato" w:hAnsi="Lato" w:cs="Lato"/>
          <w:color w:val="212529"/>
        </w:rPr>
        <w:t xml:space="preserve">löt </w:t>
      </w:r>
      <w:r w:rsidRPr="2C49DF87">
        <w:rPr>
          <w:rFonts w:ascii="Lato" w:eastAsia="Lato" w:hAnsi="Lato" w:cs="Lato"/>
          <w:color w:val="212529"/>
        </w:rPr>
        <w:t>ei</w:t>
      </w:r>
      <w:r w:rsidR="007441DD">
        <w:rPr>
          <w:rFonts w:ascii="Lato" w:eastAsia="Lato" w:hAnsi="Lato" w:cs="Lato"/>
          <w:color w:val="212529"/>
        </w:rPr>
        <w:t>vät</w:t>
      </w:r>
      <w:r w:rsidRPr="2C49DF87">
        <w:rPr>
          <w:rFonts w:ascii="Lato" w:eastAsia="Lato" w:hAnsi="Lato" w:cs="Lato"/>
          <w:color w:val="212529"/>
        </w:rPr>
        <w:t xml:space="preserve"> ole tehtävänannon mukaisia</w:t>
      </w:r>
      <w:r w:rsidR="009E5E2B" w:rsidRPr="008F7E16">
        <w:rPr>
          <w:rFonts w:ascii="Lato" w:eastAsia="Lato" w:hAnsi="Lato" w:cs="Lato"/>
        </w:rPr>
        <w:t xml:space="preserve"> tai ovat </w:t>
      </w:r>
      <w:r w:rsidR="00782DF6" w:rsidRPr="008F7E16">
        <w:rPr>
          <w:rFonts w:ascii="Lato" w:eastAsia="Lato" w:hAnsi="Lato" w:cs="Lato"/>
        </w:rPr>
        <w:t>hyvin niukkoja.</w:t>
      </w:r>
    </w:p>
    <w:p w14:paraId="4E730B92" w14:textId="5E6D7B28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Vastauksissa voi olla myös plagiointia.</w:t>
      </w:r>
    </w:p>
    <w:p w14:paraId="7667E1D7" w14:textId="374B4151" w:rsidR="00EE1148" w:rsidRDefault="2C49DF87" w:rsidP="2C49DF87">
      <w:pPr>
        <w:pStyle w:val="Luettelokappale"/>
        <w:numPr>
          <w:ilvl w:val="0"/>
          <w:numId w:val="1"/>
        </w:numPr>
        <w:rPr>
          <w:rFonts w:ascii="Lato" w:eastAsia="Lato" w:hAnsi="Lato" w:cs="Lato"/>
          <w:color w:val="212529"/>
        </w:rPr>
      </w:pPr>
      <w:r w:rsidRPr="2C49DF87">
        <w:rPr>
          <w:rFonts w:ascii="Lato" w:eastAsia="Lato" w:hAnsi="Lato" w:cs="Lato"/>
          <w:color w:val="212529"/>
        </w:rPr>
        <w:t>Itsereflektio puuttuu.</w:t>
      </w:r>
    </w:p>
    <w:p w14:paraId="0E11A86D" w14:textId="22944698" w:rsidR="00EE1148" w:rsidRDefault="00EE1148" w:rsidP="2C49DF87"/>
    <w:sectPr w:rsidR="00EE1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38C7"/>
    <w:multiLevelType w:val="hybridMultilevel"/>
    <w:tmpl w:val="906ABE0E"/>
    <w:lvl w:ilvl="0" w:tplc="C832B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E9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0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D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CD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08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0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2C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76CAF"/>
    <w:rsid w:val="00407162"/>
    <w:rsid w:val="00444CD2"/>
    <w:rsid w:val="007441DD"/>
    <w:rsid w:val="00782DF6"/>
    <w:rsid w:val="007C66BF"/>
    <w:rsid w:val="00884C88"/>
    <w:rsid w:val="008C3769"/>
    <w:rsid w:val="008F7E16"/>
    <w:rsid w:val="009E5E2B"/>
    <w:rsid w:val="00BD1AF3"/>
    <w:rsid w:val="00C31C56"/>
    <w:rsid w:val="00E7014D"/>
    <w:rsid w:val="00EE1148"/>
    <w:rsid w:val="1D876CAF"/>
    <w:rsid w:val="267C4667"/>
    <w:rsid w:val="2C49DF87"/>
    <w:rsid w:val="56B1B0E9"/>
    <w:rsid w:val="74EFD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6CAF"/>
  <w15:chartTrackingRefBased/>
  <w15:docId w15:val="{CCFDF88E-7137-4EA5-9500-1042315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4CD2"/>
    <w:pPr>
      <w:keepNext/>
      <w:keepLines/>
      <w:spacing w:before="240" w:after="0"/>
      <w:outlineLvl w:val="0"/>
    </w:pPr>
    <w:rPr>
      <w:rFonts w:ascii="Lato" w:eastAsiaTheme="majorEastAsia" w:hAnsi="Lato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7014D"/>
    <w:pPr>
      <w:keepNext/>
      <w:keepLines/>
      <w:spacing w:before="40" w:after="0"/>
      <w:outlineLvl w:val="1"/>
    </w:pPr>
    <w:rPr>
      <w:rFonts w:ascii="Lato" w:eastAsiaTheme="majorEastAsia" w:hAnsi="Lato" w:cstheme="majorBidi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44CD2"/>
    <w:rPr>
      <w:rFonts w:ascii="Lato" w:eastAsiaTheme="majorEastAsia" w:hAnsi="Lato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7014D"/>
    <w:rPr>
      <w:rFonts w:ascii="Lato" w:eastAsiaTheme="majorEastAsia" w:hAnsi="Lato" w:cstheme="majorBidi"/>
      <w:sz w:val="26"/>
      <w:szCs w:val="2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C66B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C66BF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7C66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D0D1895232BA44B6895CE2B005A9C0" ma:contentTypeVersion="12" ma:contentTypeDescription="Luo uusi asiakirja." ma:contentTypeScope="" ma:versionID="d3044277f34240d2c94c149c0dc75cbe">
  <xsd:schema xmlns:xsd="http://www.w3.org/2001/XMLSchema" xmlns:xs="http://www.w3.org/2001/XMLSchema" xmlns:p="http://schemas.microsoft.com/office/2006/metadata/properties" xmlns:ns2="8a39ca4e-ae17-43d9-8f1c-fc0c89b8bd0e" xmlns:ns3="07cc1c66-773a-450e-9cc1-4c129f6f7317" targetNamespace="http://schemas.microsoft.com/office/2006/metadata/properties" ma:root="true" ma:fieldsID="46442b187677887f988f98295810783a" ns2:_="" ns3:_="">
    <xsd:import namespace="8a39ca4e-ae17-43d9-8f1c-fc0c89b8bd0e"/>
    <xsd:import namespace="07cc1c66-773a-450e-9cc1-4c129f6f7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9ca4e-ae17-43d9-8f1c-fc0c89b8b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1c66-773a-450e-9cc1-4c129f6f7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2700C-D51F-41B4-9386-F9F380F53703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a39ca4e-ae17-43d9-8f1c-fc0c89b8bd0e"/>
    <ds:schemaRef ds:uri="http://purl.org/dc/terms/"/>
    <ds:schemaRef ds:uri="http://schemas.microsoft.com/office/infopath/2007/PartnerControls"/>
    <ds:schemaRef ds:uri="07cc1c66-773a-450e-9cc1-4c129f6f731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7B8BA9-56AF-465F-A499-09D373C71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9ca4e-ae17-43d9-8f1c-fc0c89b8bd0e"/>
    <ds:schemaRef ds:uri="07cc1c66-773a-450e-9cc1-4c129f6f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28C94-7EC8-4873-A33C-C2FCFC401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Uotinen, Sanna</dc:creator>
  <cp:keywords/>
  <dc:description/>
  <cp:lastModifiedBy>Kokko, Tiina</cp:lastModifiedBy>
  <cp:revision>2</cp:revision>
  <dcterms:created xsi:type="dcterms:W3CDTF">2022-06-22T06:03:00Z</dcterms:created>
  <dcterms:modified xsi:type="dcterms:W3CDTF">2022-06-22T06:03:00Z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0x010100E7D0D1895232BA44B6895CE2B005A9C0</vt:lpwstr>
  </property>
</Properties>
</file>